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0" w:right="0" w:firstLine="70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533400</wp:posOffset>
            </wp:positionH>
            <wp:positionV relativeFrom="paragraph">
              <wp:posOffset>0</wp:posOffset>
            </wp:positionV>
            <wp:extent cx="2015490" cy="1390015"/>
            <wp:effectExtent b="0" l="0" r="0" t="0"/>
            <wp:wrapNone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15490" cy="139001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0" w:right="0" w:firstLine="70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0" w:right="0" w:firstLine="70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0" w:right="0" w:firstLine="70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0" w:right="0" w:firstLine="70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0" w:right="0" w:firstLine="70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Весной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202</w:t>
      </w:r>
      <w:r w:rsidDel="00000000" w:rsidR="00000000" w:rsidRPr="00000000">
        <w:rPr>
          <w:b w:val="1"/>
          <w:sz w:val="24"/>
          <w:szCs w:val="24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года в Самарской области стартует Всероссийский Эко-марафон ПЕРЕРАБОТКА «Сдай макулатуру – спаси дерево», который проводится при поддержке краудфандинг проекта «Подари Дерево» 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b w:val="1"/>
            <w:i w:val="0"/>
            <w:smallCaps w:val="0"/>
            <w:strike w:val="0"/>
            <w:color w:val="000080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www.подари-дерево.рф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Акция проходит в виде соревнований между районами и городами Самарской области. Победители акции будут награждены премиями, благодарностями и ценными призами. Основная задача акции - привлечь внимание людей к ресурсосбережению, заставить задуматься над расточительностью использования природных ресурсов, а также внести вклад в развитие вторичной переработки отходов. </w:t>
      </w:r>
    </w:p>
    <w:p w:rsidR="00000000" w:rsidDel="00000000" w:rsidP="00000000" w:rsidRDefault="00000000" w:rsidRPr="00000000" w14:paraId="00000009">
      <w:pPr>
        <w:spacing w:line="360" w:lineRule="auto"/>
        <w:ind w:firstLine="709"/>
        <w:jc w:val="both"/>
        <w:rPr>
          <w:sz w:val="22"/>
          <w:szCs w:val="22"/>
        </w:rPr>
      </w:pPr>
      <w:r w:rsidDel="00000000" w:rsidR="00000000" w:rsidRPr="00000000">
        <w:rPr>
          <w:color w:val="00000a"/>
          <w:sz w:val="22"/>
          <w:szCs w:val="22"/>
          <w:rtl w:val="0"/>
        </w:rPr>
        <w:t xml:space="preserve">Все участники акции будут награждены благодарностями, а самые результативные - денежными премиями. </w:t>
      </w:r>
      <w:r w:rsidDel="00000000" w:rsidR="00000000" w:rsidRPr="00000000">
        <w:rPr>
          <w:sz w:val="22"/>
          <w:szCs w:val="22"/>
          <w:rtl w:val="0"/>
        </w:rPr>
        <w:t xml:space="preserve">Денежные премии в размере от 2 руб. за 1 кг выплачиваются, </w:t>
      </w:r>
      <w:r w:rsidDel="00000000" w:rsidR="00000000" w:rsidRPr="00000000">
        <w:rPr>
          <w:color w:val="00000a"/>
          <w:sz w:val="22"/>
          <w:szCs w:val="22"/>
          <w:rtl w:val="0"/>
        </w:rPr>
        <w:t xml:space="preserve">если общий вес макулатуры, собранной муниципальным образованием составит более 2000 кг.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 случае, если общий результат региона будет более 100 тонн (что вполне достижимо), финалисты получат ценные призы (на выбор):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 место: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93"/>
        </w:tabs>
        <w:spacing w:after="12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Аллея из хвойных пород деревьев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93"/>
        </w:tabs>
        <w:spacing w:after="12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или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93"/>
        </w:tabs>
        <w:spacing w:after="12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Телескоп – для знакомства со звёздным небом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93"/>
        </w:tabs>
        <w:spacing w:after="12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 место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93"/>
        </w:tabs>
        <w:spacing w:after="12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Аллея из лиственных пород деревьев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93"/>
        </w:tabs>
        <w:spacing w:after="12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или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93"/>
        </w:tabs>
        <w:spacing w:after="12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Уличный спортивный комплекс (турник, брусья, вертикальная лестница)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93"/>
        </w:tabs>
        <w:spacing w:after="12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 место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93"/>
        </w:tabs>
        <w:spacing w:after="12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Аллея из плодовых деревьев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93"/>
        </w:tabs>
        <w:spacing w:after="12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или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93"/>
        </w:tabs>
        <w:spacing w:after="12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Цифровой микроскоп – для изучения окружающего мира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Оргкомитет акции: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+7-977-340-42-41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е-mail акции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 </w:t>
      </w:r>
      <w:hyperlink r:id="rId9">
        <w:r w:rsidDel="00000000" w:rsidR="00000000" w:rsidRPr="00000000"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80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163@sdai-bumagu.com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Как подготовиться к сдаче макулатуры?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Вторичной переработке подлежат: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глянцевые журналы, газеты, офисная бумага, тетради, крафт бумага, бумажная упаковка, книги, не представляющие литературной ценности и т.п.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Гофрокартон в связи с его малой удельной плотностью принимается хорошо развернутый и компактно свернутый в объеме не более 1 м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superscript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(Если не соблюсти эти требования, то переработка гофрокартона не экологична, малый вес при большом объёме, в процессе транспортировки не перекрывает вреда от выхлопов автомобиля.)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Можно сдавать архивы администраций и организаций – мы гарантируем конфиденциальную утилизацию!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  <w:rtl w:val="0"/>
        </w:rPr>
        <w:t xml:space="preserve">Уважаемые участники!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  <w:rtl w:val="0"/>
        </w:rPr>
        <w:t xml:space="preserve">Для рационального проведения акции взвешивается только вес машины на выгрузке. Взвешивание машины осуществляется на автомобильных весах, которые проходят ежегодную поверку Ростехнадзором.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  <w:rtl w:val="0"/>
        </w:rPr>
        <w:t xml:space="preserve">По этим данным определяется вес отдельно взятого района или муниципалитета. При желании учреждение может выполнить предварительное взвешивание макулатуры самостоятельно. И уведомить об этом организаторов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Макулатуру хорошо перевязать в плотные кипы или плотно и компактно сложить в коробки. Перед этим удалить пластиковые элементы, извлечь из файлов, металлические пружины отделить от старых календарей, тетрадей. Гофрокартон хорошо развернуть и компактно свернуть, либо спрессовать. Объем гофрокартона не должен превышать более 1 м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superscript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Мы приглашаем к участию все учебные заведения, общественные организации, предприятия, компании, и другие учреждения всех населенных пунктов Самарской области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Для этого нужно собрать ненужную макулатуру (необходимо собрать более 300 кг макулатуры в одном месте - это 6 стопок бумаги А4 высотой 120 см или около 850 книг, не имеющих литературной ценности), далее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оставить заявку на официальном сайте акции </w:t>
      </w:r>
      <w:hyperlink r:id="rId10">
        <w:r w:rsidDel="00000000" w:rsidR="00000000" w:rsidRPr="00000000">
          <w:rPr>
            <w:rFonts w:ascii="Times New Roman" w:cs="Times New Roman" w:eastAsia="Times New Roman" w:hAnsi="Times New Roman"/>
            <w:b w:val="1"/>
            <w:i w:val="0"/>
            <w:smallCaps w:val="0"/>
            <w:strike w:val="0"/>
            <w:color w:val="000080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Сдай-Бумагу.рф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или </w:t>
      </w:r>
      <w:hyperlink r:id="rId11">
        <w:r w:rsidDel="00000000" w:rsidR="00000000" w:rsidRPr="00000000">
          <w:rPr>
            <w:rFonts w:ascii="Times New Roman" w:cs="Times New Roman" w:eastAsia="Times New Roman" w:hAnsi="Times New Roman"/>
            <w:b w:val="1"/>
            <w:i w:val="0"/>
            <w:smallCaps w:val="0"/>
            <w:strike w:val="0"/>
            <w:color w:val="000080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www.Sdai-Bumagu.com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Отдельные граждане, желающие принять участие в акции, но не имеющие возможность собрать более 300 кг, могут обратиться по месту работы или в ближайшее учебное заведение, учреждение с предложением принять участие в акции «Сдай макулатуру – спаси дерево!»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Оргкомитет акции: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+7-977-340-42-41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е-mail акции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 </w:t>
      </w:r>
      <w:hyperlink r:id="rId12">
        <w:r w:rsidDel="00000000" w:rsidR="00000000" w:rsidRPr="00000000"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80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163@sdai-bumagu.com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По результатам акции будет составлен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Зеленый рейтинг муниципалитетов.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Заявки на вывоз макулатуры необходимо оставлять заранее на официальном сайте акции</w:t>
        <w:br w:type="textWrapping"/>
      </w:r>
      <w:hyperlink r:id="rId13">
        <w:r w:rsidDel="00000000" w:rsidR="00000000" w:rsidRPr="00000000">
          <w:rPr>
            <w:rFonts w:ascii="Times New Roman" w:cs="Times New Roman" w:eastAsia="Times New Roman" w:hAnsi="Times New Roman"/>
            <w:b w:val="1"/>
            <w:i w:val="0"/>
            <w:smallCaps w:val="0"/>
            <w:strike w:val="0"/>
            <w:color w:val="000080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www.сдай-бумагу.рф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вывоз собранной макулатуры будет осуществляться транспортом компании переработчика согласно расписанию акции.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Акция "Сдай макулатуру - спаси дерево!" проходит 2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 раза год (раз в полугодие) на регулярной основе.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Практикуйте в быту культуру отдельного сбора бумаги, таким образом, каждый может внести вклад в сохранение лесов и уменьшение объема мусора на полигонах.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66" w:top="766" w:left="720" w:right="720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Calibri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915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635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355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075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795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515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235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955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675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765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85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205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925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45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65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85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805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525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0"/>
      <w:spacing w:after="200" w:line="276" w:lineRule="auto"/>
      <w:ind w:leftChars="-1" w:rightChars="0" w:firstLineChars="-1"/>
      <w:textDirection w:val="btLr"/>
      <w:textAlignment w:val="top"/>
      <w:outlineLvl w:val="0"/>
    </w:pPr>
    <w:rPr>
      <w:rFonts w:ascii="Calibri" w:cs="Calibri" w:eastAsia="Arial Unicode MS" w:hAnsi="Calibri"/>
      <w:color w:val="000000"/>
      <w:w w:val="100"/>
      <w:position w:val="-1"/>
      <w:sz w:val="22"/>
      <w:szCs w:val="22"/>
      <w:effect w:val="none"/>
      <w:vertAlign w:val="baseline"/>
      <w:cs w:val="0"/>
      <w:em w:val="none"/>
      <w:lang w:bidi="ar-SA" w:eastAsia="ar-SA" w:val="ru-RU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Обычнаятаблица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WW8Num1z0">
    <w:name w:val="WW8Num1z0"/>
    <w:next w:val="WW8Num1z0"/>
    <w:autoRedefine w:val="0"/>
    <w:hidden w:val="0"/>
    <w:qFormat w:val="0"/>
    <w:rPr>
      <w:rFonts w:ascii="Symbol" w:cs="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8Num1z1">
    <w:name w:val="WW8Num1z1"/>
    <w:next w:val="WW8Num1z1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character" w:styleId="WW8Num1z2">
    <w:name w:val="WW8Num1z2"/>
    <w:next w:val="WW8Num1z2"/>
    <w:autoRedefine w:val="0"/>
    <w:hidden w:val="0"/>
    <w:qFormat w:val="0"/>
    <w:rPr>
      <w:rFonts w:ascii="Wingdings" w:cs="Wingdings" w:hAnsi="Wingdings"/>
      <w:w w:val="100"/>
      <w:position w:val="-1"/>
      <w:effect w:val="none"/>
      <w:vertAlign w:val="baseline"/>
      <w:cs w:val="0"/>
      <w:em w:val="none"/>
      <w:lang/>
    </w:rPr>
  </w:style>
  <w:style w:type="character" w:styleId="WW8Num2z0">
    <w:name w:val="WW8Num2z0"/>
    <w:next w:val="WW8Num2z0"/>
    <w:autoRedefine w:val="0"/>
    <w:hidden w:val="0"/>
    <w:qFormat w:val="0"/>
    <w:rPr>
      <w:rFonts w:ascii="Symbol" w:cs="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8Num2z1">
    <w:name w:val="WW8Num2z1"/>
    <w:next w:val="WW8Num2z1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character" w:styleId="WW8Num2z2">
    <w:name w:val="WW8Num2z2"/>
    <w:next w:val="WW8Num2z2"/>
    <w:autoRedefine w:val="0"/>
    <w:hidden w:val="0"/>
    <w:qFormat w:val="0"/>
    <w:rPr>
      <w:rFonts w:ascii="Wingdings" w:cs="Wingdings" w:hAnsi="Wingdings"/>
      <w:w w:val="100"/>
      <w:position w:val="-1"/>
      <w:effect w:val="none"/>
      <w:vertAlign w:val="baseline"/>
      <w:cs w:val="0"/>
      <w:em w:val="none"/>
      <w:lang/>
    </w:rPr>
  </w:style>
  <w:style w:type="character" w:styleId="WW8Num3z0">
    <w:name w:val="WW8Num3z0"/>
    <w:next w:val="WW8Num3z0"/>
    <w:autoRedefine w:val="0"/>
    <w:hidden w:val="0"/>
    <w:qFormat w:val="0"/>
    <w:rPr>
      <w:rFonts w:ascii="Symbol" w:cs="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8Num3z1">
    <w:name w:val="WW8Num3z1"/>
    <w:next w:val="WW8Num3z1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character" w:styleId="WW8Num3z2">
    <w:name w:val="WW8Num3z2"/>
    <w:next w:val="WW8Num3z2"/>
    <w:autoRedefine w:val="0"/>
    <w:hidden w:val="0"/>
    <w:qFormat w:val="0"/>
    <w:rPr>
      <w:rFonts w:ascii="Wingdings" w:cs="Wingdings" w:hAnsi="Wingdings"/>
      <w:w w:val="100"/>
      <w:position w:val="-1"/>
      <w:effect w:val="none"/>
      <w:vertAlign w:val="baseline"/>
      <w:cs w:val="0"/>
      <w:em w:val="none"/>
      <w:lang/>
    </w:rPr>
  </w:style>
  <w:style w:type="character" w:styleId="WW8Num4z0">
    <w:name w:val="WW8Num4z0"/>
    <w:next w:val="WW8Num4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z1">
    <w:name w:val="WW8Num4z1"/>
    <w:next w:val="WW8Num4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z2">
    <w:name w:val="WW8Num4z2"/>
    <w:next w:val="WW8Num4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z3">
    <w:name w:val="WW8Num4z3"/>
    <w:next w:val="WW8Num4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z4">
    <w:name w:val="WW8Num4z4"/>
    <w:next w:val="WW8Num4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z5">
    <w:name w:val="WW8Num4z5"/>
    <w:next w:val="WW8Num4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z6">
    <w:name w:val="WW8Num4z6"/>
    <w:next w:val="WW8Num4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z7">
    <w:name w:val="WW8Num4z7"/>
    <w:next w:val="WW8Num4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z8">
    <w:name w:val="WW8Num4z8"/>
    <w:next w:val="WW8Num4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DefaultParagraphFont">
    <w:name w:val="Default Paragraph Font"/>
    <w:next w:val="DefaultParagraphFon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Гиперссылка">
    <w:name w:val="Гиперссылка"/>
    <w:next w:val="Гиперссылка"/>
    <w:autoRedefine w:val="0"/>
    <w:hidden w:val="0"/>
    <w:qFormat w:val="0"/>
    <w:rPr>
      <w:color w:val="000080"/>
      <w:w w:val="100"/>
      <w:position w:val="-1"/>
      <w:u w:val="single"/>
      <w:effect w:val="none"/>
      <w:vertAlign w:val="baseline"/>
      <w:cs w:val="0"/>
      <w:em w:val="none"/>
      <w:lang w:bidi="und" w:eastAsia="und" w:val="und"/>
    </w:rPr>
  </w:style>
  <w:style w:type="character" w:styleId="apple-converted-space">
    <w:name w:val="apple-converted-space"/>
    <w:next w:val="apple-converted-space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Строгий">
    <w:name w:val="Строгий"/>
    <w:next w:val="Строгий"/>
    <w:autoRedefine w:val="0"/>
    <w:hidden w:val="0"/>
    <w:qFormat w:val="0"/>
    <w:rPr>
      <w:b w:val="1"/>
      <w:bCs w:val="1"/>
      <w:w w:val="100"/>
      <w:position w:val="-1"/>
      <w:effect w:val="none"/>
      <w:vertAlign w:val="baseline"/>
      <w:cs w:val="0"/>
      <w:em w:val="none"/>
      <w:lang/>
    </w:rPr>
  </w:style>
  <w:style w:type="character" w:styleId="ТекствыноскиЗнак">
    <w:name w:val="Текст выноски Знак"/>
    <w:next w:val="ТекствыноскиЗнак"/>
    <w:autoRedefine w:val="0"/>
    <w:hidden w:val="0"/>
    <w:qFormat w:val="0"/>
    <w:rPr>
      <w:rFonts w:ascii="Tahoma" w:cs="Tahoma" w:hAnsi="Tahoma"/>
      <w:color w:val="000000"/>
      <w:w w:val="100"/>
      <w:position w:val="-1"/>
      <w:sz w:val="16"/>
      <w:szCs w:val="16"/>
      <w:u w:val="none"/>
      <w:effect w:val="none"/>
      <w:vertAlign w:val="baseline"/>
      <w:cs w:val="0"/>
      <w:em w:val="none"/>
      <w:lang/>
    </w:rPr>
  </w:style>
  <w:style w:type="character" w:styleId="UnresolvedMention">
    <w:name w:val="Unresolved Mention"/>
    <w:next w:val="UnresolvedMention"/>
    <w:autoRedefine w:val="0"/>
    <w:hidden w:val="0"/>
    <w:qFormat w:val="0"/>
    <w:rPr>
      <w:color w:val="605e5c"/>
      <w:w w:val="100"/>
      <w:position w:val="-1"/>
      <w:effect w:val="none"/>
      <w:vertAlign w:val="baseline"/>
      <w:cs w:val="0"/>
      <w:em w:val="none"/>
      <w:lang/>
    </w:rPr>
  </w:style>
  <w:style w:type="character" w:styleId="FollowedHyperlink">
    <w:name w:val="FollowedHyperlink"/>
    <w:next w:val="FollowedHyperlink"/>
    <w:autoRedefine w:val="0"/>
    <w:hidden w:val="0"/>
    <w:qFormat w:val="0"/>
    <w:rPr>
      <w:color w:val="800080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ListLabel1">
    <w:name w:val="ListLabel 1"/>
    <w:next w:val="ListLabel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Просмотреннаягиперссылка">
    <w:name w:val="Просмотренная гиперссылка"/>
    <w:next w:val="Просмотреннаягиперссылка"/>
    <w:autoRedefine w:val="0"/>
    <w:hidden w:val="0"/>
    <w:qFormat w:val="0"/>
    <w:rPr>
      <w:color w:val="800000"/>
      <w:w w:val="100"/>
      <w:position w:val="-1"/>
      <w:u w:val="single"/>
      <w:effect w:val="none"/>
      <w:vertAlign w:val="baseline"/>
      <w:cs w:val="0"/>
      <w:em w:val="none"/>
      <w:lang w:bidi="und" w:eastAsia="und" w:val="und"/>
    </w:rPr>
  </w:style>
  <w:style w:type="character" w:styleId="Символсноски">
    <w:name w:val="Символ сноски"/>
    <w:next w:val="Символсноски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Символыконцевойсноски">
    <w:name w:val="Символы концевой сноски"/>
    <w:next w:val="Символыконцевойсноски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Заголовок1">
    <w:name w:val="Заголовок1"/>
    <w:basedOn w:val="Обычный"/>
    <w:next w:val="Основнойтекст"/>
    <w:autoRedefine w:val="0"/>
    <w:hidden w:val="0"/>
    <w:qFormat w:val="0"/>
    <w:pPr>
      <w:keepNext w:val="1"/>
      <w:suppressAutoHyphens w:val="0"/>
      <w:spacing w:after="120" w:before="240" w:line="276" w:lineRule="auto"/>
      <w:ind w:leftChars="-1" w:rightChars="0" w:firstLineChars="-1"/>
      <w:textDirection w:val="btLr"/>
      <w:textAlignment w:val="top"/>
      <w:outlineLvl w:val="0"/>
    </w:pPr>
    <w:rPr>
      <w:rFonts w:ascii="Arial" w:cs="Lucida Sans" w:eastAsia="Microsoft YaHei" w:hAnsi="Arial"/>
      <w:color w:val="000000"/>
      <w:w w:val="100"/>
      <w:position w:val="-1"/>
      <w:sz w:val="28"/>
      <w:szCs w:val="28"/>
      <w:effect w:val="none"/>
      <w:vertAlign w:val="baseline"/>
      <w:cs w:val="0"/>
      <w:em w:val="none"/>
      <w:lang w:bidi="ar-SA" w:eastAsia="ar-SA" w:val="ru-RU"/>
    </w:rPr>
  </w:style>
  <w:style w:type="paragraph" w:styleId="Основнойтекст">
    <w:name w:val="Основной текст"/>
    <w:basedOn w:val="Обычный"/>
    <w:next w:val="Основнойтекст"/>
    <w:autoRedefine w:val="0"/>
    <w:hidden w:val="0"/>
    <w:qFormat w:val="0"/>
    <w:pPr>
      <w:suppressAutoHyphens w:val="0"/>
      <w:spacing w:after="120" w:before="0" w:line="276" w:lineRule="auto"/>
      <w:ind w:leftChars="-1" w:rightChars="0" w:firstLineChars="-1"/>
      <w:textDirection w:val="btLr"/>
      <w:textAlignment w:val="top"/>
      <w:outlineLvl w:val="0"/>
    </w:pPr>
    <w:rPr>
      <w:rFonts w:ascii="Calibri" w:cs="Calibri" w:eastAsia="Arial Unicode MS" w:hAnsi="Calibri"/>
      <w:color w:val="000000"/>
      <w:w w:val="100"/>
      <w:position w:val="-1"/>
      <w:sz w:val="22"/>
      <w:szCs w:val="22"/>
      <w:effect w:val="none"/>
      <w:vertAlign w:val="baseline"/>
      <w:cs w:val="0"/>
      <w:em w:val="none"/>
      <w:lang w:bidi="ar-SA" w:eastAsia="ar-SA" w:val="ru-RU"/>
    </w:rPr>
  </w:style>
  <w:style w:type="paragraph" w:styleId="Список">
    <w:name w:val="Список"/>
    <w:basedOn w:val="Основнойтекст"/>
    <w:next w:val="Список"/>
    <w:autoRedefine w:val="0"/>
    <w:hidden w:val="0"/>
    <w:qFormat w:val="0"/>
    <w:pPr>
      <w:suppressAutoHyphens w:val="0"/>
      <w:spacing w:after="120" w:before="0" w:line="276" w:lineRule="auto"/>
      <w:ind w:leftChars="-1" w:rightChars="0" w:firstLineChars="-1"/>
      <w:textDirection w:val="btLr"/>
      <w:textAlignment w:val="top"/>
      <w:outlineLvl w:val="0"/>
    </w:pPr>
    <w:rPr>
      <w:rFonts w:ascii="Calibri" w:cs="Lucida Sans" w:eastAsia="Arial Unicode MS" w:hAnsi="Calibri"/>
      <w:color w:val="000000"/>
      <w:w w:val="100"/>
      <w:position w:val="-1"/>
      <w:sz w:val="22"/>
      <w:szCs w:val="22"/>
      <w:effect w:val="none"/>
      <w:vertAlign w:val="baseline"/>
      <w:cs w:val="0"/>
      <w:em w:val="none"/>
      <w:lang w:bidi="ar-SA" w:eastAsia="ar-SA" w:val="ru-RU"/>
    </w:rPr>
  </w:style>
  <w:style w:type="paragraph" w:styleId="Название">
    <w:name w:val="Название"/>
    <w:basedOn w:val="Обычный"/>
    <w:next w:val="Название"/>
    <w:autoRedefine w:val="0"/>
    <w:hidden w:val="0"/>
    <w:qFormat w:val="0"/>
    <w:pPr>
      <w:suppressLineNumbers w:val="1"/>
      <w:suppressAutoHyphens w:val="0"/>
      <w:spacing w:after="120" w:before="120" w:line="276" w:lineRule="auto"/>
      <w:ind w:leftChars="-1" w:rightChars="0" w:firstLineChars="-1"/>
      <w:textDirection w:val="btLr"/>
      <w:textAlignment w:val="top"/>
      <w:outlineLvl w:val="0"/>
    </w:pPr>
    <w:rPr>
      <w:rFonts w:ascii="Calibri" w:cs="Lucida Sans" w:eastAsia="Arial Unicode MS" w:hAnsi="Calibri"/>
      <w:i w:val="1"/>
      <w:iCs w:val="1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ru-RU"/>
    </w:rPr>
  </w:style>
  <w:style w:type="paragraph" w:styleId="Указатель1">
    <w:name w:val="Указатель1"/>
    <w:basedOn w:val="Обычный"/>
    <w:next w:val="Указатель1"/>
    <w:autoRedefine w:val="0"/>
    <w:hidden w:val="0"/>
    <w:qFormat w:val="0"/>
    <w:pPr>
      <w:suppressLineNumbers w:val="1"/>
      <w:suppressAutoHyphens w:val="0"/>
      <w:spacing w:after="200" w:line="276" w:lineRule="auto"/>
      <w:ind w:leftChars="-1" w:rightChars="0" w:firstLineChars="-1"/>
      <w:textDirection w:val="btLr"/>
      <w:textAlignment w:val="top"/>
      <w:outlineLvl w:val="0"/>
    </w:pPr>
    <w:rPr>
      <w:rFonts w:ascii="Calibri" w:cs="Lucida Sans" w:eastAsia="Arial Unicode MS" w:hAnsi="Calibri"/>
      <w:color w:val="000000"/>
      <w:w w:val="100"/>
      <w:position w:val="-1"/>
      <w:sz w:val="22"/>
      <w:szCs w:val="22"/>
      <w:effect w:val="none"/>
      <w:vertAlign w:val="baseline"/>
      <w:cs w:val="0"/>
      <w:em w:val="none"/>
      <w:lang w:bidi="ar-SA" w:eastAsia="ar-SA" w:val="ru-RU"/>
    </w:rPr>
  </w:style>
  <w:style w:type="paragraph" w:styleId="Колонтитулы">
    <w:name w:val="Колонтитулы"/>
    <w:next w:val="Колонтитулы"/>
    <w:autoRedefine w:val="0"/>
    <w:hidden w:val="0"/>
    <w:qFormat w:val="0"/>
    <w:pPr>
      <w:tabs>
        <w:tab w:val="right" w:leader="none" w:pos="9020"/>
      </w:tabs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Helvetica" w:cs="Arial Unicode MS" w:eastAsia="Arial Unicode MS" w:hAnsi="Helvetica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ru-RU"/>
    </w:rPr>
  </w:style>
  <w:style w:type="paragraph" w:styleId="Normal(Web)">
    <w:name w:val="Normal (Web)"/>
    <w:basedOn w:val="Обычный"/>
    <w:next w:val="Normal(Web)"/>
    <w:autoRedefine w:val="0"/>
    <w:hidden w:val="0"/>
    <w:qFormat w:val="0"/>
    <w:pPr>
      <w:numPr>
        <w:ilvl w:val="0"/>
        <w:numId w:val="0"/>
      </w:numPr>
      <w:pBdr>
        <w:top w:space="0" w:sz="0" w:val="none"/>
        <w:left w:space="0" w:sz="0" w:val="none"/>
        <w:bottom w:space="0" w:sz="0" w:val="none"/>
        <w:right w:space="0" w:sz="0" w:val="none"/>
      </w:pBdr>
      <w:suppressAutoHyphens w:val="0"/>
      <w:spacing w:after="100" w:before="100" w:line="100" w:lineRule="atLeast"/>
      <w:ind w:left="0" w:right="0" w:leftChars="-1" w:rightChars="0" w:firstLine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color w:val="00000a"/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ru-RU"/>
    </w:rPr>
  </w:style>
  <w:style w:type="paragraph" w:styleId="BalloonText">
    <w:name w:val="Balloon Text"/>
    <w:basedOn w:val="Обычный"/>
    <w:next w:val="BalloonText"/>
    <w:autoRedefine w:val="0"/>
    <w:hidden w:val="0"/>
    <w:qFormat w:val="0"/>
    <w:pPr>
      <w:numPr>
        <w:ilvl w:val="0"/>
        <w:numId w:val="0"/>
      </w:numPr>
      <w:suppressAutoHyphens w:val="0"/>
      <w:spacing w:after="0" w:before="0" w:line="100" w:lineRule="atLeast"/>
      <w:ind w:left="0" w:right="0" w:leftChars="-1" w:rightChars="0" w:firstLine="0" w:firstLineChars="-1"/>
      <w:textDirection w:val="btLr"/>
      <w:textAlignment w:val="top"/>
      <w:outlineLvl w:val="0"/>
    </w:pPr>
    <w:rPr>
      <w:rFonts w:ascii="Tahoma" w:cs="Tahoma" w:eastAsia="Arial Unicode MS" w:hAnsi="Tahoma"/>
      <w:color w:val="000000"/>
      <w:w w:val="100"/>
      <w:position w:val="-1"/>
      <w:sz w:val="16"/>
      <w:szCs w:val="16"/>
      <w:effect w:val="none"/>
      <w:vertAlign w:val="baseline"/>
      <w:cs w:val="0"/>
      <w:em w:val="none"/>
      <w:lang w:bidi="ar-SA" w:eastAsia="ar-SA" w:val="ru-RU"/>
    </w:rPr>
  </w:style>
  <w:style w:type="paragraph" w:styleId="ListParagraph">
    <w:name w:val="List Paragraph"/>
    <w:basedOn w:val="Обычный"/>
    <w:next w:val="ListParagraph"/>
    <w:autoRedefine w:val="0"/>
    <w:hidden w:val="0"/>
    <w:qFormat w:val="0"/>
    <w:pPr>
      <w:numPr>
        <w:ilvl w:val="0"/>
        <w:numId w:val="0"/>
      </w:numPr>
      <w:suppressAutoHyphens w:val="0"/>
      <w:spacing w:after="200" w:line="276" w:lineRule="auto"/>
      <w:ind w:left="720" w:right="0" w:leftChars="-1" w:rightChars="0" w:firstLine="0" w:firstLineChars="-1"/>
      <w:textDirection w:val="btLr"/>
      <w:textAlignment w:val="top"/>
      <w:outlineLvl w:val="0"/>
    </w:pPr>
    <w:rPr>
      <w:rFonts w:ascii="Calibri" w:cs="Calibri" w:eastAsia="Arial Unicode MS" w:hAnsi="Calibri"/>
      <w:color w:val="000000"/>
      <w:w w:val="100"/>
      <w:position w:val="-1"/>
      <w:sz w:val="22"/>
      <w:szCs w:val="22"/>
      <w:effect w:val="none"/>
      <w:vertAlign w:val="baseline"/>
      <w:cs w:val="0"/>
      <w:em w:val="none"/>
      <w:lang w:bidi="ar-SA" w:eastAsia="ar-SA" w:val="ru-RU"/>
    </w:rPr>
  </w:style>
  <w:style w:type="paragraph" w:styleId="Верхнийколонтитул">
    <w:name w:val="Верхний колонтитул"/>
    <w:basedOn w:val="Обычный"/>
    <w:next w:val="Верхнийколонтитул"/>
    <w:autoRedefine w:val="0"/>
    <w:hidden w:val="0"/>
    <w:qFormat w:val="0"/>
    <w:pPr>
      <w:suppressLineNumbers w:val="1"/>
      <w:tabs>
        <w:tab w:val="center" w:leader="none" w:pos="4819"/>
        <w:tab w:val="right" w:leader="none" w:pos="9638"/>
      </w:tabs>
      <w:suppressAutoHyphens w:val="0"/>
      <w:spacing w:after="200" w:line="276" w:lineRule="auto"/>
      <w:ind w:leftChars="-1" w:rightChars="0" w:firstLineChars="-1"/>
      <w:textDirection w:val="btLr"/>
      <w:textAlignment w:val="top"/>
      <w:outlineLvl w:val="0"/>
    </w:pPr>
    <w:rPr>
      <w:rFonts w:ascii="Calibri" w:cs="Calibri" w:eastAsia="Arial Unicode MS" w:hAnsi="Calibri"/>
      <w:color w:val="000000"/>
      <w:w w:val="100"/>
      <w:position w:val="-1"/>
      <w:sz w:val="22"/>
      <w:szCs w:val="22"/>
      <w:effect w:val="none"/>
      <w:vertAlign w:val="baseline"/>
      <w:cs w:val="0"/>
      <w:em w:val="none"/>
      <w:lang w:bidi="ar-SA" w:eastAsia="ar-SA" w:val="ru-RU"/>
    </w:rPr>
  </w:style>
  <w:style w:type="paragraph" w:styleId="Нижнийколонтитул">
    <w:name w:val="Нижний колонтитул"/>
    <w:basedOn w:val="Обычный"/>
    <w:next w:val="Нижнийколонтитул"/>
    <w:autoRedefine w:val="0"/>
    <w:hidden w:val="0"/>
    <w:qFormat w:val="0"/>
    <w:pPr>
      <w:suppressLineNumbers w:val="1"/>
      <w:tabs>
        <w:tab w:val="center" w:leader="none" w:pos="4819"/>
        <w:tab w:val="right" w:leader="none" w:pos="9638"/>
      </w:tabs>
      <w:suppressAutoHyphens w:val="0"/>
      <w:spacing w:after="200" w:line="276" w:lineRule="auto"/>
      <w:ind w:leftChars="-1" w:rightChars="0" w:firstLineChars="-1"/>
      <w:textDirection w:val="btLr"/>
      <w:textAlignment w:val="top"/>
      <w:outlineLvl w:val="0"/>
    </w:pPr>
    <w:rPr>
      <w:rFonts w:ascii="Calibri" w:cs="Calibri" w:eastAsia="Arial Unicode MS" w:hAnsi="Calibri"/>
      <w:color w:val="000000"/>
      <w:w w:val="100"/>
      <w:position w:val="-1"/>
      <w:sz w:val="22"/>
      <w:szCs w:val="22"/>
      <w:effect w:val="none"/>
      <w:vertAlign w:val="baseline"/>
      <w:cs w:val="0"/>
      <w:em w:val="none"/>
      <w:lang w:bidi="ar-SA" w:eastAsia="ar-SA" w:val="ru-RU"/>
    </w:rPr>
  </w:style>
  <w:style w:type="paragraph" w:styleId="Текствыноски">
    <w:name w:val="Текст выноски"/>
    <w:basedOn w:val="Обычный"/>
    <w:next w:val="Текствыноски"/>
    <w:autoRedefine w:val="0"/>
    <w:hidden w:val="0"/>
    <w:qFormat w:val="1"/>
    <w:pPr>
      <w:suppressAutoHyphens w:val="0"/>
      <w:spacing w:after="0" w:line="240" w:lineRule="auto"/>
      <w:ind w:leftChars="-1" w:rightChars="0" w:firstLineChars="-1"/>
      <w:textDirection w:val="btLr"/>
      <w:textAlignment w:val="top"/>
      <w:outlineLvl w:val="0"/>
    </w:pPr>
    <w:rPr>
      <w:rFonts w:ascii="Segoe UI" w:cs="Times New Roman" w:eastAsia="Arial Unicode MS" w:hAnsi="Segoe UI"/>
      <w:color w:val="000000"/>
      <w:w w:val="100"/>
      <w:position w:val="-1"/>
      <w:sz w:val="18"/>
      <w:szCs w:val="18"/>
      <w:effect w:val="none"/>
      <w:vertAlign w:val="baseline"/>
      <w:cs w:val="0"/>
      <w:em w:val="none"/>
      <w:lang w:bidi="ar-SA" w:eastAsia="ar-SA" w:val="und"/>
    </w:rPr>
  </w:style>
  <w:style w:type="character" w:styleId="ЗнакЗнак">
    <w:name w:val="Знак Знак"/>
    <w:next w:val="ЗнакЗнак"/>
    <w:autoRedefine w:val="0"/>
    <w:hidden w:val="0"/>
    <w:qFormat w:val="0"/>
    <w:rPr>
      <w:rFonts w:ascii="Segoe UI" w:cs="Segoe UI" w:eastAsia="Arial Unicode MS" w:hAnsi="Segoe UI"/>
      <w:color w:val="000000"/>
      <w:w w:val="100"/>
      <w:position w:val="-1"/>
      <w:sz w:val="18"/>
      <w:szCs w:val="18"/>
      <w:effect w:val="none"/>
      <w:vertAlign w:val="baseline"/>
      <w:cs w:val="0"/>
      <w:em w:val="none"/>
      <w:lang w:eastAsia="ar-SA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://www.sdai-bumagu.com" TargetMode="External"/><Relationship Id="rId10" Type="http://schemas.openxmlformats.org/officeDocument/2006/relationships/hyperlink" Target="about:blank" TargetMode="External"/><Relationship Id="rId13" Type="http://schemas.openxmlformats.org/officeDocument/2006/relationships/hyperlink" Target="about:blank" TargetMode="External"/><Relationship Id="rId12" Type="http://schemas.openxmlformats.org/officeDocument/2006/relationships/hyperlink" Target="mailto:163@sdai-bumagu.com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163@sdai-bumagu.com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about:blank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bycVLUgNFVUirtpwlI/5If3RnTA==">AMUW2mVGDEgqqGlbQ3eec1g3eOgru5qwMyKn4FB3Qt5qPuwEJ8cBSLmvYSchn1Ik+8nQ3M26Z8JRPrEkN/DerjdpKiHGxnDXk4Fto9r8mg4dOGp52ZxA5to=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2022-01-21T08:27:00Z</dcterms:created>
  <dc:creator>Дарина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AppVersion">
    <vt:lpstr>12.0000</vt:lpstr>
  </property>
  <property fmtid="{D5CDD505-2E9C-101B-9397-08002B2CF9AE}" pid="4" name="Company">
    <vt:lpstr>SPecialiST RePack</vt:lpstr>
  </property>
  <property fmtid="{D5CDD505-2E9C-101B-9397-08002B2CF9AE}" pid="5" name="DocSecurity">
    <vt:r8>0.0</vt:r8>
  </property>
  <property fmtid="{D5CDD505-2E9C-101B-9397-08002B2CF9AE}" pid="6" name="HyperlinksChanged">
    <vt:bool>false</vt:bool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